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94085" w:rsidR="00D01A39" w:rsidP="00294085" w:rsidRDefault="00294085" w14:paraId="66182253" w14:textId="77777777">
      <w:pPr>
        <w:pStyle w:val="berschrift1"/>
        <w:jc w:val="center"/>
        <w:rPr>
          <w:rFonts w:ascii="Arial" w:hAnsi="Arial" w:cs="Arial"/>
          <w:color w:val="000000" w:themeColor="text1"/>
          <w:sz w:val="38"/>
          <w:szCs w:val="38"/>
        </w:rPr>
      </w:pPr>
      <w:r w:rsidRPr="00294085">
        <w:rPr>
          <w:rFonts w:ascii="Arial" w:hAnsi="Arial" w:cs="Arial"/>
          <w:color w:val="000000" w:themeColor="text1"/>
          <w:sz w:val="38"/>
          <w:szCs w:val="38"/>
        </w:rPr>
        <w:t xml:space="preserve">AI Ethics Code of SCANDIC FINANCE GROUP LIMITED and the SCANDIC Brand Ecosystem</w:t>
      </w:r>
    </w:p>
    <w:p w:rsidRPr="00294085" w:rsidR="00D01A39" w:rsidRDefault="00294085" w14:paraId="46E9A7B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0.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Company information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cooperation structure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This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Code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Ethics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Intelligence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(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hereinafter referred to as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"AI Ethics Code") applies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to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: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LIMITED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Banking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Hong Kong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Room 10, Unit A, 7/F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Harbour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Sky, 28 Sze Shan Street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Yau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Tong,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Hong Kong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SAR-PRC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Head office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telephone number in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Switzerland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, Zurich: +41 44 7979 99 – 85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Email:</w:t>
      </w:r>
      <w:hyperlink w:history="1" r:id="rId6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Office@ScandicFinance.Global</w:t>
        </w:r>
      </w:hyperlink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Commercial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register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hyperlink w:history="1" r:id="rId7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https://hkg.Databasesets.com/en/gongsimingdan/number/79325926</w:t>
        </w:r>
      </w:hyperlink>
    </w:p>
    <w:p w:rsidRPr="00294085" w:rsidR="00D01A39" w:rsidRDefault="00294085" w14:paraId="0CD4D27C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in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cooperation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with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ASSETS FZCO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Dubai Silicon Oasis DDP Building A1/A2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Dubai, 342001, United Arab Emirates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Telephone: +971 56 929 86 – 90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Email:</w:t>
      </w:r>
      <w:hyperlink w:history="1" r:id="rId8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Info@ScandicAssets.dev</w:t>
        </w:r>
      </w:hyperlink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Commercial register: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hyperlink w:history="1" r:id="rId9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https://dieza.my.site.com/diezaqrverify/validateqr?id=001NM00000K2u4FYAR&amp;masterCode=CERTIFICATE_OF_FORMATION&amp;relatedToId=a1MNM000004ddaI2AQ</w:t>
        </w:r>
      </w:hyperlink>
    </w:p>
    <w:p w:rsidRPr="00294085" w:rsidR="00D01A39" w:rsidRDefault="00294085" w14:paraId="5B9B83D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in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cooperation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with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TRUST GROUP LLC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IQ Business Centre, Bolsunovska Street 13–15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01014 Kyiv,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Ukraine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lastRenderedPageBreak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Headquarters telephone number United Kingdom of Great Britain and Northern Ireland, London: +44 7470 86 92 – 60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Email:</w:t>
      </w:r>
      <w:hyperlink w:history="1" r:id="rId10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Info@ScandicTrust.com</w:t>
        </w:r>
      </w:hyperlink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Commercial register extract: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hyperlink w:history="1" r:id="rId11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https://LegierGroup.com/Scandic_Trust_Group_LLC_Extract_from_the_Unified_State_Register.pdf</w:t>
        </w:r>
      </w:hyperlink>
    </w:p>
    <w:p w:rsidRPr="00294085" w:rsidR="00D01A39" w:rsidRDefault="00294085" w14:paraId="781D89B2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cooperation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with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LEGIER BETEILIGUNGS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GMBH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Kurfürstendamm 14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10719 Berlin, Federal Republic of Germany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Commercial register number Berlin: HRB 57837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Telephone: +49 (0) 30 9921134 – 69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Email:</w:t>
      </w:r>
      <w:hyperlink w:history="1" r:id="rId12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 Office@LegierGroup.com</w:t>
        </w:r>
      </w:hyperlink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Commercial register: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hyperlink w:history="1" r:id="rId13">
        <w:r w:rsidRPr="00054003">
          <w:rPr>
            <w:rStyle w:val="Link"/>
            <w:rFonts w:ascii="Arial" w:hAnsi="Arial" w:cs="Arial"/>
            <w:sz w:val="28"/>
            <w:szCs w:val="28"/>
          </w:rPr>
          <w:t xml:space="preserve">https://www.Handelsregister.de/rp_web/normalesuche/welcome.xhtml</w:t>
        </w:r>
      </w:hyperlink>
    </w:p>
    <w:p w:rsidRPr="00294085" w:rsidR="00D01A39" w:rsidRDefault="00294085" w14:paraId="2038738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  <w:u w:val="thick"/>
        </w:rPr>
        <w:t xml:space="preserve">Legal notice: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SCANDIC ASSETS FZCO, LEGIER Beteiligungs Gesellschaft mit beschränkter Haftung and SCANDIC TRUST GROUP LLC act as non-operational service providers. All operational 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responsible activities are carried out by SCANDIC FINANCE GROUP LIMITED, Hong Kong, Special Administrative Region of the People's Republic of China.</w:t>
      </w:r>
    </w:p>
    <w:p w:rsidRPr="00294085" w:rsidR="00D01A39" w:rsidRDefault="00294085" w14:paraId="30B4608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  <w:u w:val="thick"/>
        </w:rPr>
        <w:t xml:space="preserve">Applicability in the brand ecosystem: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This AI Code of Ethics applies to the SCANDIC brand ecosystem, in particular to the following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brands and services: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SEC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FLY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PAY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COIN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CARS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DATA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SETUP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TRUST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CARDS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ESTATE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YACHTS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HEALTH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FINANCE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as well as for all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structures held or supported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LIMITED.</w:t>
      </w:r>
    </w:p>
    <w:p w:rsidRPr="00294085" w:rsidR="00D01A39" w:rsidRDefault="00294085" w14:paraId="12E8D3A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Table of contents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1. Preamble and scope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 Core values and guiding principles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3. Governance and responsibilities (Artificial Intelligence Ethics Committee,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accountability model)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4. Legal and regulatory framework (European Union Artificial Intelligence Regulation, General Data Protection Regulation, Digital Services Act, copyright law, commercial law)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5. Risk classification and assessment of the impact 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6. Data ethics and data protection (legal basis, data protection impact assessment, internet identifiers, transfer to third countries)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7. Life cycle of models and data (model life cycle, data cards, model cards)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8. Transparency,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explainability and user notices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9. Human oversight and supervisory duties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10. Security, robustness and adversarial testing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11. Supply chain, human rights and fair labour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12. Bias control, fairness and inclusion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13. Generative artificial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intelligence, proof of origin and labelling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14. Content, moderation and processes under the Digital Services Act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 Domain-specific use in the SCANDIC brand ecosystem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16. Third parties, procurement and risk management of service providers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17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 Operation, monitoring, emergency and recovery plans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18. Incidents and remedies (ethics, data protection, security)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19. Metrics, key performance indicators and safeguards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20. Training, awareness and cultural change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21. Implementation and roadmap (0–6 /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6–12 / 12–24 months)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 Roles and responsibility matrix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23. Checklists (brief assessment of impact, data release, release for commissioning)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24. Forms and templates (model card, data card, incident report)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25. Glossary and references</w:t>
      </w:r>
    </w:p>
    <w:p w:rsidRPr="00294085" w:rsidR="00D01A39" w:rsidRDefault="00294085" w14:paraId="090C334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Preamble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scope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1.1 SCANDIC FINANCE GROUP LIMITED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recognises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the profound importance of artificial intelligence systems for financial services, media, health, mobility, real estate, data processing and digital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infrastructure. The aim of this AI Ethics Code is to create a binding framework for the responsible, legally compliant and human-centred use of artificial intelligence.</w:t>
      </w:r>
    </w:p>
    <w:p w:rsidRPr="00294085" w:rsidR="00D01A39" w:rsidRDefault="00294085" w14:paraId="34186943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1.2 This Code applies worldwide to all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systems operated or managed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by SCANDIC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FINANCE GROUP LIMITED, including those developed,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operated or used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cooperation with SCANDIC ASSETS FZCO, SCANDIC TRUST GROUP LLC or LEGIER Beteiligungs Gesellschaft mit beschränkter Haftung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</w:t>
      </w:r>
    </w:p>
    <w:p w:rsidRPr="00294085" w:rsidR="00D01A39" w:rsidRDefault="00294085" w14:paraId="278AFED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1.3 The Code is binding for the following groups: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Employees and managers of SCANDIC FINANCE GROUP LIMITED and its affiliated companies,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External service providers, processors and suppliers,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Partner companies within the SCANDIC brand ecosystem,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Other third parties who develop, operate or provide artificial intelligence systems on behalf of or in the interests of SCANDIC FINANCE GROUP LIMITED.</w:t>
      </w:r>
    </w:p>
    <w:p w:rsidRPr="00294085" w:rsidR="00D01A39" w:rsidRDefault="00294085" w14:paraId="1A5F4D3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1.4 The AI Ethics Code supplements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existing guidelines, in particular: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Group Data Protection Policy,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Guideline on Digital Services and Platform Processes,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Human Rights Due Diligence and Supply Chain Policy,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Corporate Governance and Compliance Policy,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Sustainability Policy,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Declaration on Combating Modern Forms of Slavery.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the event of a conflict, the stricter and more protective regulation for those affected shall always apply.</w:t>
      </w:r>
    </w:p>
    <w:p w:rsidRPr="00294085" w:rsidR="00D01A39" w:rsidRDefault="00294085" w14:paraId="5522A31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2.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Core values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guiding principles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Human dignity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fundamental rights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serves people, not the other way around. All artificial intelligence systems and applications must respect human dignity, fundamental rights and personal rights.</w:t>
      </w:r>
    </w:p>
    <w:p w:rsidRPr="00294085" w:rsidR="00D01A39" w:rsidRDefault="00294085" w14:paraId="2CD71D85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2.2 Legal compliance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 is committed to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complying with all relevant national and international standards. This includes, in particular, the European Union's Artificial Intelligence Regulation, the European Union's General Data Protection Regulation, the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European Union's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Digital Services Act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, relevant copyrights, ancillary copyrights and personal rights, as well as industry-specific regulations.</w:t>
      </w:r>
    </w:p>
    <w:p w:rsidRPr="00294085" w:rsidR="00D01A39" w:rsidRDefault="00294085" w14:paraId="53943655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2.3 Responsibility and accountability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each artificial intelligence system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a clearly designated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responsible person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appointed who is accountable for the purpose, risk assessment, documentation and ongoing monitoring.</w:t>
      </w:r>
    </w:p>
    <w:p w:rsidRPr="00294085" w:rsidR="00D01A39" w:rsidRDefault="00294085" w14:paraId="77F52B80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2.4 Proportionality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design and use of artificial intelligence must always be proportionate. The higher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risk to data subjects, the stricter the requirements for justification, transparency, oversight and safeguards.</w:t>
      </w:r>
    </w:p>
    <w:p w:rsidRPr="00294085" w:rsidR="00D01A39" w:rsidRDefault="00294085" w14:paraId="1392B86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2.5 Transparency and explainability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Users should be informed when they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interact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with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systems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or when content has been generated or significantly influenced by artificial intelligence. The functioning of the systems must be explained in understandable language, insofar as this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is compatible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with the protection of trade secrets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security interests.</w:t>
      </w:r>
    </w:p>
    <w:p w:rsidRPr="00294085" w:rsidR="00D01A39" w:rsidRDefault="00294085" w14:paraId="7EB9E8D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2.6 Fairness and inclusion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systems must not create or reinforce unjustified disadvantages. Particular attention must be paid to vulnerable groups and to avoiding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structural discrimination.</w:t>
      </w:r>
    </w:p>
    <w:p w:rsidRPr="00294085" w:rsidR="00D01A39" w:rsidRDefault="00294085" w14:paraId="3D275A20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2.7 Security and resilience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systems must be robust against malfunctions, attacks and manipulation. Mechanisms for error detection, safe shutdown 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recovery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shall be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provided.</w:t>
      </w:r>
    </w:p>
    <w:p w:rsidRPr="00294085" w:rsidR="00D01A39" w:rsidRDefault="00294085" w14:paraId="29B95093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2.8 Sustainability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development and operation of artificial intelligence systems must take environmental, social and corporate governance aspects into account. Energy-efficient processes, resource-saving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infrastructures and the responsible use of computing capacities are preferred.</w:t>
      </w:r>
    </w:p>
    <w:p w:rsidRPr="00294085" w:rsidR="00D01A39" w:rsidRDefault="00294085" w14:paraId="4554CDC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3. Governance 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responsibilities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3.1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Committee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Ethics in 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is establishing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an Ethics Committee for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Intelligence. This committee is interdisciplinary and includes representatives from the following areas, among others: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Technology and development,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Legal and compliance,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Data protection,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Information security,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Editorial 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product management,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Human resources,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Relevant business areas such as financial services, health and media.</w:t>
      </w:r>
    </w:p>
    <w:p w:rsidRPr="00294085" w:rsidR="00D01A39" w:rsidRDefault="00294085" w14:paraId="6168065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Tasks of the Committee for Ethics in Artificial Intelligence: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Updating the AI Ethics Code and associated guidelines,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Deciding on fundamental issues relating to the use of artificial intelligence,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Approval of high-risk systems,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Evaluation of incidents with ethical relevance,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Annual review of the overall risk profile of artificial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systems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within the company.</w:t>
      </w:r>
    </w:p>
    <w:p w:rsidRPr="00294085" w:rsidR="00D01A39" w:rsidRDefault="00294085" w14:paraId="6EC9164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3.2 Responsibility model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 responsibility model is defined for all activities in the life cycle of artificial intelligence systems. It specifies: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who is responsible for execution,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who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bears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ultimate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responsibility,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who is to be involved in an advisory capacity,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who is to be informed and in what form.</w:t>
      </w:r>
    </w:p>
    <w:p w:rsidRPr="00294085" w:rsidR="00D01A39" w:rsidRDefault="00294085" w14:paraId="336831E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3.3 Documentation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structure of the committee, the role descriptions and the decision-making processes of the Committee for Ethics in Artificial Intelligence 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documented in writing. Changes require a formal resolution and are communicated transparently.</w:t>
      </w:r>
    </w:p>
    <w:p w:rsidRPr="00294085" w:rsidR="00D01A39" w:rsidRDefault="00294085" w14:paraId="3F4F46D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4. Legal 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regulatory framework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4.1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European Union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Regulation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aligns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its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internal procedures with the European Union's Regulation on Artificial Intelligence. This includes, among other things: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Classification of systems into prohibited practices, high-risk systems, limited-risk systems 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minimal-risk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systems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Compliance with requirements for quality management, documentation, logging and human oversight,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Technical and organisational measures to ensure security, transparency and traceability.</w:t>
      </w:r>
    </w:p>
    <w:p w:rsidRPr="00294085" w:rsidR="00D01A39" w:rsidRDefault="00294085" w14:paraId="5F5E148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4.2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European Union General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Data Protection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Regulation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All processing relevant to data protection law must be aligned with the European Union's General Data Protection Regulation. This includes, in particular: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Definition and documentation of legal bases,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Consideration of special categories of personal data,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Implementation of data protection through design and data protection-friendly default settings,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Carrying out data protection impact assessments,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Safeguarding the rights of data subjects.</w:t>
      </w:r>
    </w:p>
    <w:p w:rsidRPr="00294085" w:rsidR="00D01A39" w:rsidRDefault="00294085" w14:paraId="37465822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4.3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European Union Digital Services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Act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Digital services related to the European Union are subject to the provisions of the European Union Digital Services Act. These include, in particular: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Clear reporting channels for illegal content,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Complaint procedures and appeal options,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transparency reports and risk-based assessments.</w:t>
      </w:r>
    </w:p>
    <w:p w:rsidRPr="00294085" w:rsidR="00D01A39" w:rsidRDefault="00294085" w14:paraId="20AFE912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4.4 Copyright, ancillary copyright and personal rights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When using artificial intelligence to create, process or distribute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content, copyright, ancillary copyright and personal rights are taken into account comprehensively. Licence chains are documented and verified.</w:t>
      </w:r>
    </w:p>
    <w:p w:rsidRPr="00294085" w:rsidR="00D01A39" w:rsidRDefault="00294085" w14:paraId="178D0D6A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4.5 Industry-specific standards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Industry-specific standards, such as financial market regulation,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health law, aviation law, maritime law, telecommunications law and media law, must also be observed. This includes relevant supervisory requirements and professional standards.</w:t>
      </w:r>
    </w:p>
    <w:p w:rsidRPr="00294085" w:rsidR="00D01A39" w:rsidRDefault="00294085" w14:paraId="194865F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5. Risk classification and assessment of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the impact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of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artificial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intelligence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5.1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Risk classification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Each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system is assigned a risk class before it is introduced: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Prohibited practices: systems that may not be operated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High-risk systems: systems with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significant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impact on safety, health, fundamental rights or living conditions,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Systems with limited risks: systems with transparency requirements and manageable risk potential,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Systems with minimal risks: simple support functions with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low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risk profile.</w:t>
      </w:r>
    </w:p>
    <w:p w:rsidRPr="00294085" w:rsidR="00D01A39" w:rsidRDefault="00294085" w14:paraId="097D6385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5.2 Impact assessment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 structured assessment of the impact of artificial intelligence includes: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Description of the purpose and functions,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Analysis of the groups affected,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Legal and ethical assessment,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Identification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 risks in the areas of law, ethics, security, bias and the environment,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Definition and documentation of protective measures,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Decision on approval, restriction or rejection of the system.</w:t>
      </w:r>
    </w:p>
    <w:p w:rsidRPr="00294085" w:rsidR="00D01A39" w:rsidRDefault="00294085" w14:paraId="2A5F992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5.3 Recurring reassessment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systems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are subject to reassessment in the event of significant changes and at regular intervals. High-risk systems are reviewed at least once a year.</w:t>
      </w:r>
    </w:p>
    <w:p w:rsidRPr="00294085" w:rsidR="00D01A39" w:rsidRDefault="00294085" w14:paraId="3083D4C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6.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Data ethics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data protection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6.1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Data minimisation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purpose limitation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Only data that is absolutely necessary for the fulfilment of the respective purpose is processed. Any change of purpose requires a new legal review and, if necessary, notification of the data subjects.</w:t>
      </w:r>
    </w:p>
    <w:p w:rsidRPr="00294085" w:rsidR="00D01A39" w:rsidRDefault="00294085" w14:paraId="4C8674B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6.2 Transparency towards data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subjects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Data subjects shall be informed in a clear and comprehensible manner about the nature, scope, purpose and legal basis of processing within the framework of artificial intelligence systems. This also includes information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automated decision-making,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profiling and the significance and intended effects for the data subject.</w:t>
      </w:r>
    </w:p>
    <w:p w:rsidRPr="00294085" w:rsidR="00D01A39" w:rsidRDefault="00294085" w14:paraId="5D38609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6.3 Technical and organisational measures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 implements appropriate technical and organisational measures to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ensure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confidentiality,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integrity and availability of data. This includes in particular: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Access and rights concepts,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Encryption, pseudonymisation and anonymisation,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Logging of accesses and changes,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Separate data storage for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development, test and production environments.</w:t>
      </w:r>
    </w:p>
    <w:p w:rsidRPr="00294085" w:rsidR="00D01A39" w:rsidRDefault="00294085" w14:paraId="56DDEE4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6.4 Internet identifiers and tracking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use of internet identifiers such as cookies and similar technologies in connection with artificial intelligence systems is based on the principle 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data minimisation. Consent is obtained and documented where necessary, and options for revoking consent are made simple.</w:t>
      </w:r>
    </w:p>
    <w:p w:rsidRPr="00294085" w:rsidR="00D01A39" w:rsidRDefault="00294085" w14:paraId="1B0ACB79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6.5 Transfer to third countries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If personal data is transferred to countries outside the European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Economic Area, appropriate safeguards are put in place. The actual legal situation in the recipient country is assessed and, if necessary, compensated for by additional protective mechanisms.</w:t>
      </w:r>
    </w:p>
    <w:p w:rsidRPr="00294085" w:rsidR="00D01A39" w:rsidRDefault="00294085" w14:paraId="082CA4D9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7. Life cycle of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models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data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7.1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Life cycle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 data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data life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cycle comprises: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Collection and procurement,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Preparation and cleansing,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labelling and quality assurance,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Use and analysis,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archiving and deletion.</w:t>
      </w:r>
    </w:p>
    <w:p w:rsidRPr="00294085" w:rsidR="00D01A39" w:rsidRDefault="00294085" w14:paraId="33BCBBA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Each phase is documented and responsibilities are assigned.</w:t>
      </w:r>
    </w:p>
    <w:p w:rsidRPr="00294085" w:rsidR="00D01A39" w:rsidRDefault="00294085" w14:paraId="6A78A11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7.2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Life cycle of the models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model life cycle comprises: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Problem definition and goal setting,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Selection of model architecture,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Training and fine-tuning,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Testing and validation,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Release and commissioning,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Monitoring and maintenance,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Adaptation,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retraining or decommissioning.</w:t>
      </w:r>
    </w:p>
    <w:p w:rsidRPr="00294085" w:rsidR="00D01A39" w:rsidRDefault="00294085" w14:paraId="30C8762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7.3 Data cards and model cards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Data cards and model cards are created for central data sets and models. These contain information on origin, representativeness, quality characteristics, known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distortions, intended uses, limitations and risks, as well as the persons responsible.</w:t>
      </w:r>
    </w:p>
    <w:p w:rsidRPr="00294085" w:rsidR="00D01A39" w:rsidRDefault="00294085" w14:paraId="156A6422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8. Transparency,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explainability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user information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8.1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Labelling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 artificial intelligence systems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systems 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clearly labelled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users. This can take the form of notices, symbols or brief explanations.</w:t>
      </w:r>
    </w:p>
    <w:p w:rsidRPr="00294085" w:rsidR="00D01A39" w:rsidRDefault="00294085" w14:paraId="2D90204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8.2 Explainable results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Where possible, understandable explanations shall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be provided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for decision-supporting or decision-replacing systems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 These shall contain information about which factors have contributed significantly to the result.</w:t>
      </w:r>
    </w:p>
    <w:p w:rsidRPr="00294085" w:rsidR="00D01A39" w:rsidRDefault="00294085" w14:paraId="0D3318EA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8.3 Feedback and correction mechanisms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Users are given easily accessible options for questioning results,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reporting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errors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suggesting corrections. Incoming notifications are recorded, reviewed and responded to in a structured manner.</w:t>
      </w:r>
    </w:p>
    <w:p w:rsidRPr="00294085" w:rsidR="00D01A39" w:rsidRDefault="00294085" w14:paraId="7C4F89A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9.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Human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oversight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supervisory responsibilities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9.1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Human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ultimate responsibility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all critical areas, the final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decision-making responsibility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remains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with humans. Artificial intelligence systems must not be allowed to make independent decisions with serious consequences for those affected in an uncontrolled manner.</w:t>
      </w:r>
    </w:p>
    <w:p w:rsidRPr="00294085" w:rsidR="00D01A39" w:rsidRDefault="00294085" w14:paraId="12615BF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9.2 Supervision and intervention options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Mechanisms 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established that enable responsible persons to: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check results,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stop or shut down systems,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make alternative decisions.</w:t>
      </w:r>
    </w:p>
    <w:p w:rsidRPr="00294085" w:rsidR="00D01A39" w:rsidRDefault="00294085" w14:paraId="3C11A32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9.3 Multiple-eyes principle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sensitive areas, such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editorial reporting,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financial decisions and healthcare, a multiple-eyes principle is envisaged. Decisions are reviewed by several qualified persons.</w:t>
      </w:r>
    </w:p>
    <w:p w:rsidRPr="00294085" w:rsidR="00D01A39" w:rsidRDefault="00294085" w14:paraId="0BAC6D7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10. Security,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robustness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adversarial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testing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10.1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Threat analyses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Threat analyses are performed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systems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, taking into account attacks on input data, models and outputs.</w:t>
      </w:r>
    </w:p>
    <w:p w:rsidRPr="00294085" w:rsidR="00D01A39" w:rsidRDefault="00294085" w14:paraId="70EFB8A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10.2 Adversarial testing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Systems are regularly subjected to simulated attacks and abuse scenarios in order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to identify and remedy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vulnerabilities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</w:t>
      </w:r>
    </w:p>
    <w:p w:rsidRPr="00294085" w:rsidR="00D01A39" w:rsidRDefault="00294085" w14:paraId="378BE3BE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10.3 Security measures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Technical protective measures include, among other things: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Input and output checks,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Limitation of queries and resources,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Monitoring of suspicious patterns,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Emergency mechanisms for rapid response.</w:t>
      </w:r>
    </w:p>
    <w:p w:rsidRPr="00294085" w:rsidR="00D01A39" w:rsidRDefault="00294085" w14:paraId="0CACBA48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11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. Supply chain,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human rights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fair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labour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11.1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Human rights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due diligence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 is committed to respecting human rights throughout its supply chain. Service providers 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assessed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their compliance with fundamental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labour, social and environmental standards.</w:t>
      </w:r>
    </w:p>
    <w:p w:rsidRPr="00294085" w:rsidR="00D01A39" w:rsidRDefault="00294085" w14:paraId="59730FD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11.2 Modern forms of slavery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Any form of forced labour, child labour or human trafficking is firmly rejected. Suspected cases are investigated and, if necessary, business relationships 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terminated.</w:t>
      </w:r>
    </w:p>
    <w:p w:rsidRPr="00294085" w:rsidR="00D01A39" w:rsidRDefault="00294085" w14:paraId="2E342B23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11.3 Protection of whistleblowers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People who report abuses in good faith are protected from discrimination. The confidentiality of their identity is maintained to the extent legally possible.</w:t>
      </w:r>
    </w:p>
    <w:p w:rsidRPr="00294085" w:rsidR="00D01A39" w:rsidRDefault="00294085" w14:paraId="2267AABE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12. Prejudice control, fairness 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inclusion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12.1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Review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 data sets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Data sets are analysed to identify biases that could lead to unfair treatment of certain groups.</w:t>
      </w:r>
    </w:p>
    <w:p w:rsidRPr="00294085" w:rsidR="00D01A39" w:rsidRDefault="00294085" w14:paraId="7E0E0A5E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12.2 Fair use of models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Models are designed and tested with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aim of achieving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fair results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 Differences in the degree of impact on different groups are documented and, where possible, reduced.</w:t>
      </w:r>
    </w:p>
    <w:p w:rsidRPr="00294085" w:rsidR="00D01A39" w:rsidRDefault="00294085" w14:paraId="7BB0C60F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12.3 Inclusive design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User interfaces and communication channels are designed to be inclusive. Accessibility and multilingualism are promoted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to enable access for all groups.</w:t>
      </w:r>
    </w:p>
    <w:p w:rsidRPr="00294085" w:rsidR="00D01A39" w:rsidRDefault="00294085" w14:paraId="47AB2EDA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13. Generative artificial intelligence,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proof of origin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labelling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13.1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Labelling 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generated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content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Content that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has been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created predominantly by generative artificial intelligence processes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is identified as such, particularly in journalistic contexts, in advertising, and in financial or health information.</w:t>
      </w:r>
    </w:p>
    <w:p w:rsidRPr="00294085" w:rsidR="00D01A39" w:rsidRDefault="00294085" w14:paraId="0D312F59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13.2 Proof of origin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Where technically possible, watermarks, signatures or metadata are used to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make the origin of content traceable.</w:t>
      </w:r>
    </w:p>
    <w:p w:rsidRPr="00294085" w:rsidR="00D01A39" w:rsidRDefault="00294085" w14:paraId="32F22E1E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13.3 Third-party rights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When training and using generative systems, the rights of authors and holders of ancillary copyrights shall be respected. Unauthorised use shall be refrained from.</w:t>
      </w:r>
    </w:p>
    <w:p w:rsidRPr="00294085" w:rsidR="00D01A39" w:rsidRDefault="00294085" w14:paraId="0FE00500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14.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Content, moderation and processes in accordance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with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 the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Digital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Services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Act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14.1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Reporting channels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has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set up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easily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accessible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reporting channels for illegal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abusive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content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 Reports are reviewed and processed promptly.</w:t>
      </w:r>
    </w:p>
    <w:p w:rsidRPr="00294085" w:rsidR="00D01A39" w:rsidRDefault="00294085" w14:paraId="202C8B2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14.2 Complaints procedure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There are complaint and appeal procedures in place that allow users to question and review decisions about content or accounts.</w:t>
      </w:r>
    </w:p>
    <w:p w:rsidRPr="00294085" w:rsidR="00D01A39" w:rsidRDefault="00294085" w14:paraId="67E2E27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14.3 Transparency reports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Transparency reports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published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at regular intervals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, providing information on how reported content is handled, the use of artificial intelligence systems for moderation, and the measures taken to mitigate risk.</w:t>
      </w:r>
    </w:p>
    <w:p w:rsidRPr="00294085" w:rsidR="00D01A39" w:rsidRDefault="00294085" w14:paraId="061772F0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15. Domain-specific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use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in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the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SCANDIC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brand ecosystem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News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media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news and media offerings, artificial intelligence systems serve as tools for research, translation, summarisation and moderation. Editorial responsibility remains with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journalistically trained individuals.</w:t>
      </w:r>
    </w:p>
    <w:p w:rsidRPr="00294085" w:rsidR="00D01A39" w:rsidRDefault="00294085" w14:paraId="4CA1040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15.2 Data and data centre services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DATA provides artificial intelligence infrastructures that ensure client separation, encryption, key management and comprehensive monitoring.</w:t>
      </w:r>
    </w:p>
    <w:p w:rsidRPr="00294085" w:rsidR="00D01A39" w:rsidRDefault="00294085" w14:paraId="58246C2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15.3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Health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healthcare applications, artificial intelligence systems support professionals in diagnosis and therapy decisions, but do not replace them. Final decisions are made by qualified healthcare professionals.</w:t>
      </w:r>
    </w:p>
    <w:p w:rsidRPr="00294085" w:rsidR="00D01A39" w:rsidRDefault="00294085" w14:paraId="085574A0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15.4 Aviation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maritime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aviation and yacht services, artificial intelligence systems are used to optimise routes, maintenance and customer experience. Safety-related decisions remain the responsibility 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pilots and captains.</w:t>
      </w:r>
    </w:p>
    <w:p w:rsidRPr="00294085" w:rsidR="00D01A39" w:rsidRDefault="00294085" w14:paraId="5167E5E8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15.5 Real estate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Real estate applications use valuation models that take transparent criteria into account. Discrimination in renting or selling is actively avoided.</w:t>
      </w:r>
    </w:p>
    <w:p w:rsidRPr="00294085" w:rsidR="00D01A39" w:rsidRDefault="00294085" w14:paraId="19EBCF93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15.6 Financial services,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payment transactions, trade, trust and digital assets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systems support the detection of fraud, compliance with anti-money laundering and counter-terrorist financing regulations, risk management 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market surveillance. Decisions with a significant impact on customers are justified in a comprehensible manner.</w:t>
      </w:r>
    </w:p>
    <w:p w:rsidRPr="00294085" w:rsidR="00D01A39" w:rsidRDefault="00294085" w14:paraId="0686E929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15.7 Mobility and vehicles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Personalised offers and assistance functions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that respect privacy and security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used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in mobility and vehicle services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 Movement data is only used under strict protection conditions.</w:t>
      </w:r>
    </w:p>
    <w:p w:rsidRPr="00294085" w:rsidR="00D01A39" w:rsidRDefault="00294085" w14:paraId="00AB8A90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16. Third parties, procurement 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risk management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of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service providers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16.1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Review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prior to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cooperation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Before collaborating with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third-party providers of artificial intelligence components, their security levels, data protection standards, data processing locations, certifications and subcontractor structures are reviewed.</w:t>
      </w:r>
    </w:p>
    <w:p w:rsidRPr="00294085" w:rsidR="00D01A39" w:rsidRDefault="00294085" w14:paraId="4FEF606C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16.2 Contractual provisions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Contracts with third-party providers contain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provisions on: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Responsibilities,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inspection and audit rights,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Transparency obligations in the event of changes and incidents,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performance indicators for service quality,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termination rights for good cause.</w:t>
      </w:r>
    </w:p>
    <w:p w:rsidRPr="00294085" w:rsidR="00D01A39" w:rsidRDefault="00294085" w14:paraId="2D52EC39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16.3 Ongoing monitoring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performance and risk profile 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third-party providers are monitored regularly. Significant deviations lead to corrective measures or, if necessary, to the termination of the cooperation.</w:t>
      </w:r>
    </w:p>
    <w:p w:rsidRPr="00294085" w:rsidR="00D01A39" w:rsidRDefault="00294085" w14:paraId="613D159B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17. Operation, monitoring, emergency 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recovery plans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17.1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Operation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monitoring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systems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productive use are continuously monitored. This includes: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technical stability and availability,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result quality and error rates,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anomalies in usage behaviour,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indications of security-related incidents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</w:t>
      </w:r>
    </w:p>
    <w:p w:rsidRPr="00294085" w:rsidR="00D01A39" w:rsidRDefault="00294085" w14:paraId="7F72BF69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17.2 Emergency management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Plans are in place for dealing with failures and security incidents. These include: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Defined recovery times,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Communication channels,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escalation levels,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regular exercises and updates.</w:t>
      </w:r>
    </w:p>
    <w:p w:rsidRPr="00294085" w:rsidR="00D01A39" w:rsidRDefault="00294085" w14:paraId="702612C2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17.3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Configuration and secret management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Configurations and confidential information are centrally managed, protected and regularly reviewed. Access is strictly granted according to the principle of least privilege.</w:t>
      </w:r>
    </w:p>
    <w:p w:rsidRPr="00294085" w:rsidR="00D01A39" w:rsidRDefault="00294085" w14:paraId="7FAA80C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18. Incidents and Remedial Action (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Ethics, Data Protection, Security)</w:t>
      </w:r>
    </w:p>
    <w:p w:rsidRPr="00294085" w:rsidR="00D01A39" w:rsidRDefault="00294085" w14:paraId="4B1C4111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18.1 Types of incidents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Incidents are divided into at least the following categories: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ethical incidents,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data protection incidents,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security incidents.</w:t>
      </w:r>
    </w:p>
    <w:p w:rsidRPr="00294085" w:rsidR="00D01A39" w:rsidRDefault="00294085" w14:paraId="15F9081D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18.2 Reporting and processing procedures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There are clear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reporting chains and processing procedures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all types of incidents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 These regulate: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who receives incidents,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how quickly a response is required,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which departments are to be involved,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how the root cause analysis is carried out.</w:t>
      </w:r>
    </w:p>
    <w:p w:rsidRPr="00294085" w:rsidR="00D01A39" w:rsidRDefault="00294085" w14:paraId="0DB8F95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18.3 Documentation and learning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Every incident is documented.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Lessons are learned from incidents and incorporated into guidelines, training courses and technical measures.</w:t>
      </w:r>
    </w:p>
    <w:p w:rsidRPr="00294085" w:rsidR="00D01A39" w:rsidRDefault="00294085" w14:paraId="0C41FF95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19. Metrics,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performance indicators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safeguards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19.1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Metrics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control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SCANDIC FINANCE GROUP LIMITED defines metrics to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monitor compliance with this AI Code of Ethics. These include, for example: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Number and proportion of artificial intelligence systems evaluated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Processing times for complaints,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Frequency and severity of incidents,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Training rates.</w:t>
      </w:r>
    </w:p>
    <w:p w:rsidRPr="00294085" w:rsidR="00D01A39" w:rsidRDefault="00294085" w14:paraId="5AF6B87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19.2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Metrics for fairness and quality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Appropriate metrics are defined to monitor the fairness, quality and stability of models. Differences in error rates between groups are identified and evaluated.</w:t>
      </w:r>
    </w:p>
    <w:p w:rsidRPr="00294085" w:rsidR="00D01A39" w:rsidRDefault="00294085" w14:paraId="460F960E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19.3 Sustainability indicators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Key figures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on energy consumption, utilisation of computing resources and other environmental aspects are collected and included in decisions on the selection of models and infrastructures.</w:t>
      </w:r>
    </w:p>
    <w:p w:rsidRPr="00294085" w:rsidR="00D01A39" w:rsidRDefault="00294085" w14:paraId="5EFC7558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20. Training,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awareness raising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cultural change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20.1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Mandatory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training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Employees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relevant roles regularly participate in training courses that teach the basics, opportunities and risks of artificial intelligence. In addition, special training courses are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offered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on data protection, information security and industry-specific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topics.</w:t>
      </w:r>
    </w:p>
    <w:p w:rsidRPr="00294085" w:rsidR="00D01A39" w:rsidRDefault="00294085" w14:paraId="162E9E2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20.2 Awareness-raising measures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Guidelines, internal communication campaigns, specialist forums and exchange formats are used to raise awareness of ethical issues relating to artificial intelligence.</w:t>
      </w:r>
    </w:p>
    <w:p w:rsidRPr="00294085" w:rsidR="00D01A39" w:rsidRDefault="00294085" w14:paraId="15759782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20.3 Role of managers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Managers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serve as role models. They are responsible for actively demanding and promoting compliance with this AI Code of Ethics.</w:t>
      </w:r>
    </w:p>
    <w:p w:rsidRPr="00294085" w:rsidR="00D01A39" w:rsidRDefault="00294085" w14:paraId="5B421431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21.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Implementation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roadmap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21.1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Period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from zero to six months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Complete survey of all use cases 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Establishment and commencement of work by the Committee for Ethics in Artificial Intelligence,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Introduction of the assessment of the impact of artificial intelligence for new systems,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Start of training programmes for key roles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</w:t>
      </w:r>
    </w:p>
    <w:p w:rsidRPr="00294085" w:rsidR="00D01A39" w:rsidRDefault="00294085" w14:paraId="110D7DF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21.2 Period from six to twelve months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Expansion of the assessment of existing systems,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Creation and introduction of uniform data and model maps,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Establishment of binding responsibility models,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First internal transparency reports.</w:t>
      </w:r>
    </w:p>
    <w:p w:rsidRPr="00294085" w:rsidR="00D01A39" w:rsidRDefault="00294085" w14:paraId="4DA5F7E5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21.3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Period of twelve to twenty-four months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Alignment of the management system with relevant standards,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Preparation for possible external audits,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Integration into sustainability reporting,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Regular review and further development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 this AI Code of Ethics.</w:t>
      </w:r>
    </w:p>
    <w:p w:rsidRPr="00294085" w:rsidR="00D01A39" w:rsidRDefault="00294085" w14:paraId="7323E880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22.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Roles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responsibilities matrix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Application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manager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Responsible for the technical management and target achievement of an artificial intelligence system.</w:t>
      </w:r>
    </w:p>
    <w:p w:rsidRPr="00294085" w:rsidR="00D01A39" w:rsidRDefault="00294085" w14:paraId="439B6E4F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22.2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Model manager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Responsible for data, training, evaluation and documentation of the model.</w:t>
      </w:r>
    </w:p>
    <w:p w:rsidRPr="00294085" w:rsidR="00D01A39" w:rsidRDefault="00294085" w14:paraId="3CE3B79F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22.3 Data protection officer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Advises on and monitors all issues relating to data protection.</w:t>
      </w:r>
    </w:p>
    <w:p w:rsidRPr="00294085" w:rsidR="00D01A39" w:rsidRDefault="00294085" w14:paraId="07083052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22.4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Information Security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Management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Responsible for security concepts, threat analyses and coordination of security incidents.</w:t>
      </w:r>
    </w:p>
    <w:p w:rsidRPr="00294085" w:rsidR="00D01A39" w:rsidRDefault="00294085" w14:paraId="6032804C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22.5 Responsible Editor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Ensures compliance with editorial 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media ethics standards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media offerings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</w:t>
      </w:r>
    </w:p>
    <w:p w:rsidRPr="00294085" w:rsidR="00D01A39" w:rsidRDefault="00294085" w14:paraId="0C70BA88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22.6 Service Manager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Responsible for the technical operation, monitoring and maintenance of an artificial intelligence system.</w:t>
      </w:r>
    </w:p>
    <w:p w:rsidRPr="00294085" w:rsidR="00D01A39" w:rsidRDefault="00294085" w14:paraId="5BB09B7E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22.7 Procurement manager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Evaluates third-party providers and drafts contracts with a view to security, data protection and compliance.</w:t>
      </w:r>
    </w:p>
    <w:p w:rsidRPr="00294085" w:rsidR="00D01A39" w:rsidRDefault="00294085" w14:paraId="214A116F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23.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Checklists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23.1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Brief assessment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of the impact of 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Is the purpose of the system clearly defined?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What is the legal basis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data processing?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Which groups are affected?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What are the risks in terms of law, ethics, security, bias and the environment?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What safeguards are planned?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How is human oversight organised?</w:t>
      </w:r>
    </w:p>
    <w:p w:rsidRPr="00294085" w:rsidR="00D01A39" w:rsidRDefault="00294085" w14:paraId="318B8EF1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23.2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Data release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checklist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Is the data source legitimate and trustworthy?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Is the scope of the data minimised?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Are retention periods defined?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Are there appropriate access controls in place?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Are transfers to third countries correctly secured?</w:t>
      </w:r>
    </w:p>
    <w:p w:rsidRPr="00294085" w:rsidR="00D01A39" w:rsidRDefault="00294085" w14:paraId="51F76F31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23.3 Checklist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release for commissioning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Are data cards and model cards complete?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Is there an assessment of the impact of artificial intelligence?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Have security and data protection measures been implemented and tested?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Is there a monitoring concept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 place?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Has training been provided for the relevant roles?</w:t>
      </w:r>
    </w:p>
    <w:p w:rsidRPr="00294085" w:rsidR="00D01A39" w:rsidRDefault="00294085" w14:paraId="1C719B1F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24.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Forms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templates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24.1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Model card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Contains,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among other things: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Description of the model and its purpose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Types of data used,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training procedures,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Measured variables and target values,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known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limitations and risks,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Responsible persons and contact information.</w:t>
      </w:r>
    </w:p>
    <w:p w:rsidRPr="00294085" w:rsidR="00D01A39" w:rsidRDefault="00294085" w14:paraId="4D58B274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24.2 Data card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Contains, among other things: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Origin and licensing status of the data,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Quality characteristics,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representativeness,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known distortions,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Restrictions on use.</w:t>
      </w:r>
    </w:p>
    <w:p w:rsidRPr="00294085" w:rsidR="00D01A39" w:rsidRDefault="00294085" w14:paraId="5EC2DCD6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24.3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Incident report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Contains, among other things: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Description of the incident,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affected systems and persons,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Immediate measures,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cause analysis,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Long-term corrective measures.</w:t>
      </w:r>
    </w:p>
    <w:p w:rsidRPr="00294085" w:rsidR="00D01A39" w:rsidRDefault="00294085" w14:paraId="749EEFA1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25.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Glossary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and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references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Systems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that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generate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content,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predictions, recommendations or decisions that were previously reserved for human intelligence.</w:t>
      </w:r>
    </w:p>
    <w:p w:rsidRPr="00294085" w:rsidR="00D01A39" w:rsidRDefault="00294085" w14:paraId="105BF74A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High-risk system: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 system with a significant impact on the safety, health, fundamental rights or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living conditions of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affected persons.</w:t>
      </w:r>
    </w:p>
    <w:p w:rsidRPr="00294085" w:rsidR="00D01A39" w:rsidRDefault="00294085" w14:paraId="332A98D7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Assessment of the impact of artificial intelligence: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Structured process for analysing the legal, ethical, safety-related, fairness-related and environmental impacts of an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 system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</w:t>
      </w:r>
    </w:p>
    <w:p w:rsidRPr="00294085" w:rsidR="00D01A39" w:rsidRDefault="00294085" w14:paraId="04364A79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Human oversight: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The planned and empowered role of individuals who monitor, understand, question and, if necessary, intervene to correct artificial intelligence systems.</w:t>
      </w:r>
    </w:p>
    <w:p w:rsidRPr="00294085" w:rsidR="00D01A39" w:rsidRDefault="00294085" w14:paraId="31D3B9AF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Adversarial testing: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Targeted simulation of attacks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and abuse scenarios to identify and remedy vulnerabilities in artificial intelligence systems.</w:t>
      </w:r>
    </w:p>
    <w:p w:rsidRPr="00294085" w:rsidR="00D01A39" w:rsidRDefault="00294085" w14:paraId="22872B1E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Accountability model: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Model for the clear allocation of responsibilities, accountability, advisory roles and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information obligations.</w:t>
      </w:r>
    </w:p>
    <w:p w:rsidRPr="00294085" w:rsidR="00D01A39" w:rsidRDefault="00294085" w14:paraId="368DEEBF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Key 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references</w:t>
      </w: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European Union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Regulation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Artificial Intelligence,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European Union General Data Protection Regulation,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European Union Digital Services Act,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Organisation for Economic Co-operation and Development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Guiding Principles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for Trustworthy Artificial Intelligence,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Framework of the National Institute of Standards and Technology of the United States of America for the management of risks in artificial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intelligence,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Relevant international standards on management systems for artificial intelligence,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- SCANDIC FINANCE GROUP LIMITED's internal guidelines on data protection, digital services, human rights and supply chains, corporate governance,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sustainability and combating modern forms of slavery.</w:t>
      </w:r>
    </w:p>
    <w:p w:rsidRPr="00294085" w:rsidR="00294085" w:rsidP="00294085" w:rsidRDefault="00294085" w14:paraId="7E0CEED9" w14:textId="77777777">
      <w:pPr>
        <w:rPr>
          <w:rFonts w:ascii="Arial" w:hAnsi="Arial" w:cs="Arial"/>
          <w:b/>
          <w:sz w:val="28"/>
          <w:szCs w:val="28"/>
        </w:rPr>
      </w:pPr>
      <w:r w:rsidRPr="00294085">
        <w:rPr>
          <w:rFonts w:ascii="Arial" w:hAnsi="Arial" w:cs="Arial"/>
          <w:b/>
          <w:color w:val="000000" w:themeColor="text1"/>
          <w:sz w:val="28"/>
          <w:szCs w:val="28"/>
        </w:rPr>
        <w:t xml:space="preserve">Final provision: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This AI Ethics Code is an integral part of SCANDIC FINANCE GROUP LIMITED's compliance framework. Violations may result in labour, civil and criminal consequences.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Management is expressly committed to its implementation, ongoing development and effective application in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all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business areas 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worldwide</w:t>
      </w:r>
      <w:r w:rsidRPr="00294085">
        <w:rPr>
          <w:rFonts w:ascii="Arial" w:hAnsi="Arial" w:cs="Arial"/>
          <w:color w:val="000000" w:themeColor="text1"/>
          <w:sz w:val="28"/>
          <w:szCs w:val="28"/>
        </w:rPr>
        <w:t xml:space="preserve">.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A94572">
        <w:rPr>
          <w:rFonts w:ascii="Arial" w:hAnsi="Arial" w:cs="Arial"/>
          <w:b/>
          <w:sz w:val="28"/>
          <w:szCs w:val="28"/>
        </w:rPr>
        <w:t xml:space="preserve">Drafted</w:t>
      </w:r>
      <w:r w:rsidRPr="00A94572">
        <w:rPr>
          <w:rFonts w:ascii="Arial" w:hAnsi="Arial" w:cs="Arial"/>
          <w:b/>
          <w:sz w:val="28"/>
          <w:szCs w:val="28"/>
        </w:rPr>
        <w:t xml:space="preserve">, </w:t>
      </w:r>
      <w:r w:rsidRPr="00A94572">
        <w:rPr>
          <w:rFonts w:ascii="Arial" w:hAnsi="Arial" w:cs="Arial"/>
          <w:b/>
          <w:sz w:val="28"/>
          <w:szCs w:val="28"/>
        </w:rPr>
        <w:t xml:space="preserve">signed </w:t>
      </w:r>
      <w:r w:rsidRPr="00A94572">
        <w:rPr>
          <w:rFonts w:ascii="Arial" w:hAnsi="Arial" w:cs="Arial"/>
          <w:b/>
          <w:sz w:val="28"/>
          <w:szCs w:val="28"/>
        </w:rPr>
        <w:t xml:space="preserve">and </w:t>
      </w:r>
      <w:r w:rsidRPr="00A94572">
        <w:rPr>
          <w:rFonts w:ascii="Arial" w:hAnsi="Arial" w:cs="Arial"/>
          <w:b/>
          <w:sz w:val="28"/>
          <w:szCs w:val="28"/>
        </w:rPr>
        <w:t xml:space="preserve">approved</w:t>
      </w:r>
      <w:r w:rsidRPr="00A94572">
        <w:rPr>
          <w:rFonts w:ascii="Arial" w:hAnsi="Arial" w:cs="Arial"/>
          <w:b/>
          <w:sz w:val="28"/>
          <w:szCs w:val="28"/>
        </w:rPr>
        <w:t xml:space="preserve">:</w:t>
      </w:r>
      <w:r>
        <w:rPr>
          <w:rFonts w:ascii="Arial" w:hAnsi="Arial" w:cs="Arial"/>
          <w:b/>
          <w:sz w:val="28"/>
          <w:szCs w:val="28"/>
        </w:rPr>
        <w:br/>
      </w:r>
      <w:bookmarkStart w:name="_GoBack" w:id="0"/>
      <w:bookmarkEnd w:id="0"/>
      <w:r w:rsidRPr="00A94572">
        <w:rPr>
          <w:rFonts w:ascii="Arial" w:hAnsi="Arial" w:cs="Arial"/>
          <w:sz w:val="28"/>
          <w:szCs w:val="28"/>
        </w:rPr>
        <w:t xml:space="preserve">The </w:t>
      </w:r>
      <w:r w:rsidRPr="00A94572">
        <w:rPr>
          <w:rFonts w:ascii="Arial" w:hAnsi="Arial" w:cs="Arial"/>
          <w:sz w:val="28"/>
          <w:szCs w:val="28"/>
        </w:rPr>
        <w:t xml:space="preserve">Board of Directors </w:t>
      </w:r>
      <w:r w:rsidRPr="00A94572">
        <w:rPr>
          <w:rFonts w:ascii="Arial" w:hAnsi="Arial" w:cs="Arial"/>
          <w:sz w:val="28"/>
          <w:szCs w:val="28"/>
        </w:rPr>
        <w:t xml:space="preserve">of SCANDIC FINANCE GROUP LIMITED</w:t>
      </w:r>
      <w:r>
        <w:rPr>
          <w:rFonts w:ascii="Arial" w:hAnsi="Arial" w:cs="Arial"/>
          <w:sz w:val="28"/>
          <w:szCs w:val="28"/>
        </w:rPr>
        <w:br/>
      </w:r>
      <w:r w:rsidRPr="00F42C6B">
        <w:rPr>
          <w:rFonts w:ascii="Arial" w:hAnsi="Arial" w:cs="Arial"/>
          <w:i/>
          <w:sz w:val="28"/>
          <w:szCs w:val="28"/>
        </w:rPr>
        <w:t xml:space="preserve">Hong Kong</w:t>
      </w:r>
      <w:r w:rsidRPr="00F42C6B">
        <w:rPr>
          <w:rFonts w:ascii="Arial" w:hAnsi="Arial" w:cs="Arial"/>
          <w:i/>
          <w:sz w:val="28"/>
          <w:szCs w:val="28"/>
        </w:rPr>
        <w:t xml:space="preserve">, SAR-PRC, 1 </w:t>
      </w:r>
      <w:r w:rsidRPr="00F42C6B">
        <w:rPr>
          <w:rFonts w:ascii="Arial" w:hAnsi="Arial" w:cs="Arial"/>
          <w:i/>
          <w:sz w:val="28"/>
          <w:szCs w:val="28"/>
        </w:rPr>
        <w:t xml:space="preserve">December</w:t>
      </w:r>
      <w:r w:rsidRPr="00F42C6B">
        <w:rPr>
          <w:rFonts w:ascii="Arial" w:hAnsi="Arial" w:cs="Arial"/>
          <w:i/>
          <w:sz w:val="28"/>
          <w:szCs w:val="28"/>
        </w:rPr>
        <w:t xml:space="preserve"> 2025</w:t>
      </w:r>
    </w:p>
    <w:p w:rsidRPr="00294085" w:rsidR="00D01A39" w:rsidRDefault="00294085" w14:paraId="5133F663" w14:textId="77777777">
      <w:pPr>
        <w:rPr>
          <w:rFonts w:ascii="Arial" w:hAnsi="Arial" w:cs="Arial"/>
          <w:color w:val="000000" w:themeColor="text1"/>
          <w:sz w:val="28"/>
          <w:szCs w:val="28"/>
        </w:rPr>
      </w:pPr>
      <w:r w:rsidRPr="00294085">
        <w:rPr>
          <w:rFonts w:ascii="Arial" w:hAnsi="Arial" w:cs="Arial"/>
          <w:color w:val="000000" w:themeColor="text1"/>
          <w:sz w:val="28"/>
          <w:szCs w:val="28"/>
        </w:rPr>
        <w:br/>
      </w:r>
    </w:p>
    <w:sectPr w:rsidRPr="00294085" w:rsidR="00D01A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4085"/>
    <w:rsid w:val="0029639D"/>
    <w:rsid w:val="00326F90"/>
    <w:rsid w:val="00AA1D8D"/>
    <w:rsid w:val="00B47730"/>
    <w:rsid w:val="00CB0664"/>
    <w:rsid w:val="00D01A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FC0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hervorheb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hervorheb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nk">
    <w:name w:val="Hyperlink"/>
    <w:basedOn w:val="Absatz-Standardschriftart"/>
    <w:uiPriority w:val="99"/>
    <w:unhideWhenUsed/>
    <w:rsid w:val="00294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egierGroup.com/Scandic_Trust_Group_LLC_Extract_from_the_Unified_State_Register.pdf" TargetMode="External"/><Relationship Id="rId12" Type="http://schemas.openxmlformats.org/officeDocument/2006/relationships/hyperlink" Target="mailto:Office@LegierGroup.com" TargetMode="External"/><Relationship Id="rId13" Type="http://schemas.openxmlformats.org/officeDocument/2006/relationships/hyperlink" Target="https://www.Handelsregister.de/rp_web/normalesuche/welcome.x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ScandicFinance.Global" TargetMode="External"/><Relationship Id="rId7" Type="http://schemas.openxmlformats.org/officeDocument/2006/relationships/hyperlink" Target="https://hkg.Databasesets.com/en/gongsimingdan/number/79325926" TargetMode="External"/><Relationship Id="rId8" Type="http://schemas.openxmlformats.org/officeDocument/2006/relationships/hyperlink" Target="mailto:Info@ScandicAssets.dev" TargetMode="External"/><Relationship Id="rId9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10" Type="http://schemas.openxmlformats.org/officeDocument/2006/relationships/hyperlink" Target="mailto:Info@Scandic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663E76-1FE2-BC47-B38B-040854B1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4553</Words>
  <Characters>28687</Characters>
  <Application>Microsoft Macintosh Word</Application>
  <DocSecurity>0</DocSecurity>
  <Lines>239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33174</CharactersWithSpaces>
  <SharedDoc>false</SharedDoc>
  <HyperlinkBase/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>, docId:A76F0D3FF5C9F1A2A67F0F16394835B3</keywords>
  <dc:description>generated by python-docx</dc:description>
  <lastModifiedBy>Ivan Semjonov</lastModifiedBy>
  <revision>2</revision>
  <dcterms:created xsi:type="dcterms:W3CDTF">2025-12-07T15:24:00.0000000Z</dcterms:created>
  <dcterms:modified xsi:type="dcterms:W3CDTF">2025-12-07T15:24:00.0000000Z</dcterms:modified>
  <category/>
</coreProperties>
</file>